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Calibri" w:hAnsi="Calibri" w:eastAsia="Calibri" w:cs="Calibri"/>
          <w:b/>
          <w:b/>
        </w:rPr>
      </w:pPr>
      <w:r>
        <w:rPr>
          <w:rFonts w:eastAsia="Calibri" w:cs="Calibri"/>
          <w:b/>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spacing w:lineRule="auto" w:line="240" w:before="0" w:after="0"/>
        <w:ind w:left="1440" w:hanging="1440"/>
        <w:jc w:val="both"/>
        <w:rPr>
          <w:rFonts w:ascii="Calibri" w:hAnsi="Calibri" w:eastAsia="Calibri" w:cs="Calibri"/>
          <w:b/>
          <w:b/>
          <w:bCs/>
        </w:rPr>
      </w:pPr>
      <w:r>
        <w:rPr>
          <w:rFonts w:eastAsia="Tahoma" w:cs="Tahoma" w:ascii="Tahoma" w:hAnsi="Tahoma"/>
          <w:b/>
          <w:bCs/>
          <w:sz w:val="22"/>
          <w:szCs w:val="22"/>
        </w:rPr>
        <w:t>OGGETTO:</w:t>
        <w:tab/>
        <w:t xml:space="preserve">Procedura per l’affidamento dei servizi assicurativi a favore dell’Unione dei </w:t>
      </w:r>
      <w:bookmarkStart w:id="0" w:name="_Hlk10022853"/>
      <w:r>
        <w:rPr>
          <w:rFonts w:eastAsia="Tahoma" w:cs="Tahoma" w:ascii="Tahoma" w:hAnsi="Tahoma"/>
          <w:b/>
          <w:bCs/>
          <w:sz w:val="22"/>
          <w:szCs w:val="22"/>
        </w:rPr>
        <w:t>Comuni Valli del Reno, Lavino e Samoggia</w:t>
      </w:r>
      <w:bookmarkEnd w:id="0"/>
      <w:r>
        <w:rPr>
          <w:rFonts w:eastAsia="Tahoma" w:cs="Tahoma" w:ascii="Tahoma" w:hAnsi="Tahoma"/>
          <w:b/>
          <w:bCs/>
          <w:sz w:val="22"/>
          <w:szCs w:val="22"/>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center"/>
        <w:rPr>
          <w:rFonts w:ascii="Calibri" w:hAnsi="Calibri" w:eastAsia="Calibri" w:cs="Calibri"/>
          <w:b/>
          <w:b/>
          <w:sz w:val="24"/>
        </w:rPr>
      </w:pPr>
      <w:r>
        <w:rPr>
          <w:rFonts w:eastAsia="Calibri" w:cs="Calibri"/>
          <w:b/>
          <w:sz w:val="24"/>
        </w:rPr>
      </w:r>
    </w:p>
    <w:p>
      <w:pPr>
        <w:pStyle w:val="Normal"/>
        <w:spacing w:lineRule="auto" w:line="240" w:before="0" w:after="0"/>
        <w:jc w:val="both"/>
        <w:rPr/>
      </w:pPr>
      <w:r>
        <w:rPr>
          <w:rFonts w:eastAsia="Calibri" w:cs="Calibri"/>
          <w:b/>
          <w:sz w:val="24"/>
        </w:rPr>
        <w:t xml:space="preserve">LOTTO n. 7) TUTELA LEGALE </w:t>
      </w:r>
    </w:p>
    <w:p>
      <w:pPr>
        <w:pStyle w:val="Normal"/>
        <w:spacing w:lineRule="auto" w:line="240" w:before="0" w:after="0"/>
        <w:jc w:val="center"/>
        <w:rPr>
          <w:rFonts w:ascii="Calibri" w:hAnsi="Calibri" w:eastAsia="Calibri" w:cs="Calibri"/>
          <w:b/>
          <w:b/>
          <w:sz w:val="24"/>
        </w:rPr>
      </w:pPr>
      <w:r>
        <w:rPr>
          <w:rFonts w:eastAsia="Calibri" w:cs="Calibri"/>
          <w:b/>
          <w:sz w:val="24"/>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Il sottoscritto ………………………………………………… in qualità di …………………………………………………………… della Compagnia ………………………………… e quindi in nome e per conto della Società offerente, nonché delle eventuali Società coassicuratrici, dichiara:</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i/>
          <w:i/>
          <w:u w:val="single"/>
        </w:rPr>
      </w:pPr>
      <w:r>
        <w:rPr>
          <w:rFonts w:eastAsia="Calibri" w:cs="Calibri"/>
          <w:i/>
          <w:u w:val="single"/>
        </w:rPr>
        <w:t xml:space="preserve"> </w:t>
      </w:r>
      <w:r>
        <w:rPr>
          <w:rFonts w:eastAsia="Calibri" w:cs="Calibri"/>
          <w:i/>
          <w:u w:val="single"/>
        </w:rPr>
        <w:t>(barrare la casella corrispondente)</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b/>
          <w:sz w:val="28"/>
        </w:rPr>
        <w:t>□</w:t>
      </w:r>
      <w:r>
        <w:rPr>
          <w:rFonts w:eastAsia="Calibri" w:cs="Calibri"/>
          <w:b/>
        </w:rPr>
        <w:t xml:space="preserve"> </w:t>
      </w:r>
      <w:r>
        <w:rPr>
          <w:rFonts w:eastAsia="Calibri" w:cs="Calibri"/>
          <w:b/>
        </w:rPr>
        <w:t>di accettare integralmente il capitolato tecnico, pertanto senza accettare alcuna variante migliorativa;</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b/>
          <w:sz w:val="28"/>
        </w:rPr>
        <w:t>□</w:t>
      </w:r>
      <w:r>
        <w:rPr>
          <w:rFonts w:eastAsia="Calibri" w:cs="Calibri"/>
          <w:b/>
        </w:rPr>
        <w:t xml:space="preserve"> </w:t>
      </w:r>
      <w:r>
        <w:rPr>
          <w:rFonts w:eastAsia="Calibri" w:cs="Calibri"/>
          <w:b/>
        </w:rPr>
        <w:t>di accettare la/e seguente/ variante/i migliorativa/e alle condizioni del capitolato tecnico. E’ richiesto di barrare la casella prescelta per ogni tipologia di variante:</w:t>
      </w:r>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3"/>
        <w:gridCol w:w="7092"/>
      </w:tblGrid>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1)</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rPr>
            </w:pPr>
            <w:r>
              <w:rPr>
                <w:rFonts w:eastAsia="Calibri" w:cs="Calibri"/>
              </w:rPr>
              <w:t>Aumento del massimale per persona</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30.000,00 ad € 70.000,00. PUNTI +12</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30.000,00 ad € 60.000,00. PUNTI +8</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30.000,00 ad € 50.000,00. PUNTI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30.000,00 ad € 40.000,00. PUNTI +2</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 xml:space="preserve"> </w:t>
      </w:r>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3"/>
        <w:gridCol w:w="7092"/>
      </w:tblGrid>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2)</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rPr>
            </w:pPr>
            <w:r>
              <w:rPr>
                <w:rFonts w:eastAsia="Calibri" w:cs="Calibri"/>
              </w:rPr>
              <w:t>Aumento del massimale per sinistro che coinvolga più persone</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60.000,00 ad € 100.000,00. PUNTI +12</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60.000,00 ad € 90.000,00. PUNTI +8</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60.000,00 ad € 80.000,00. PUNTI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60.000,00 ad € 70.000,00. PUNTI +2</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3"/>
        <w:gridCol w:w="7092"/>
      </w:tblGrid>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3)</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rPr>
            </w:pPr>
            <w:r>
              <w:rPr>
                <w:rFonts w:eastAsia="Calibri" w:cs="Calibri"/>
              </w:rPr>
              <w:t>Aumento del massimale per anno</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150.000,00 ad € 200.000,00. PUNTI +10</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da 150.000,00 ad € 175.000,00. PUNTI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2"/>
        <w:gridCol w:w="7093"/>
      </w:tblGrid>
      <w:tr>
        <w:trPr>
          <w:trHeight w:val="1" w:hRule="atLeast"/>
        </w:trPr>
        <w:tc>
          <w:tcPr>
            <w:tcW w:w="26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4)</w:t>
            </w:r>
          </w:p>
        </w:tc>
      </w:tr>
      <w:tr>
        <w:trPr>
          <w:trHeight w:val="1" w:hRule="atLeast"/>
        </w:trPr>
        <w:tc>
          <w:tcPr>
            <w:tcW w:w="26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rPr>
              <w:t>Durata dell’Assicurazione – Recesso annuale</w:t>
            </w:r>
          </w:p>
        </w:tc>
      </w:tr>
      <w:tr>
        <w:trPr>
          <w:trHeight w:val="1" w:hRule="atLeast"/>
        </w:trPr>
        <w:tc>
          <w:tcPr>
            <w:tcW w:w="26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0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rinuncia alla facoltà di recesso annuale della polizza da parte della Compagnia. PUNTI +6</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3"/>
        <w:gridCol w:w="7092"/>
      </w:tblGrid>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5)</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b/>
              </w:rPr>
              <w:t>Recesso per sinistro</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rinuncia alla facoltà di recesso per sinistro da parte della Compagnia. PUNTI +10</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3"/>
        <w:gridCol w:w="7092"/>
      </w:tblGrid>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6)</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b/>
              </w:rPr>
              <w:t xml:space="preserve">Garanzia postuma - </w:t>
            </w:r>
            <w:r>
              <w:rPr>
                <w:rFonts w:cs="Arial"/>
              </w:rPr>
              <w:t>Aumento dei limiti temporali da 2 anni a:</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b/>
                <w:b/>
              </w:rPr>
            </w:pPr>
            <w:r>
              <w:rPr>
                <w:rFonts w:cs="Arial"/>
              </w:rPr>
              <w:t>anni 5</w:t>
            </w:r>
            <w:r>
              <w:rPr>
                <w:rFonts w:eastAsia="Calibri" w:cs="Calibri"/>
                <w:b/>
              </w:rPr>
              <w:t xml:space="preserve"> - </w:t>
            </w:r>
            <w:r>
              <w:rPr>
                <w:rFonts w:eastAsia="Calibri" w:cs="Calibri"/>
              </w:rPr>
              <w:t>PUNTI +6</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cs="Arial"/>
              </w:rPr>
              <w:t>anni 4</w:t>
            </w:r>
            <w:r>
              <w:rPr>
                <w:rFonts w:eastAsia="Calibri" w:cs="Calibri"/>
                <w:b/>
              </w:rPr>
              <w:t xml:space="preserve"> - </w:t>
            </w:r>
            <w:r>
              <w:rPr>
                <w:rFonts w:eastAsia="Calibri" w:cs="Calibri"/>
              </w:rPr>
              <w:t>PUNTI +3</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cs="Arial"/>
              </w:rPr>
              <w:t>anni 3</w:t>
            </w:r>
            <w:bookmarkStart w:id="1" w:name="_GoBack"/>
            <w:bookmarkEnd w:id="1"/>
            <w:r>
              <w:rPr>
                <w:rFonts w:eastAsia="Calibri" w:cs="Calibri"/>
                <w:b/>
              </w:rPr>
              <w:t xml:space="preserve"> - </w:t>
            </w:r>
            <w:r>
              <w:rPr>
                <w:rFonts w:eastAsia="Calibri" w:cs="Calibri"/>
              </w:rPr>
              <w:t>PUNTI +1</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3"/>
        <w:gridCol w:w="7092"/>
      </w:tblGrid>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7)</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b/>
              </w:rPr>
              <w:t>Controversie inerenti al diritto del lavoro 10.5</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Inserimento della garanzia come da capitolato. PUNTI +8</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2653"/>
        <w:gridCol w:w="7092"/>
      </w:tblGrid>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8)</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b/>
              </w:rPr>
              <w:t>Opposizioni alle sanzioni amministrative 10.6</w:t>
            </w:r>
          </w:p>
        </w:tc>
      </w:tr>
      <w:tr>
        <w:trPr>
          <w:trHeight w:val="1" w:hRule="atLeast"/>
        </w:trPr>
        <w:tc>
          <w:tcPr>
            <w:tcW w:w="26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0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Inserimento della garanzia come da capitolato. PUNTI +6</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tbl>
      <w:tblPr>
        <w:tblW w:w="9577" w:type="dxa"/>
        <w:jc w:val="left"/>
        <w:tblInd w:w="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99" w:type="dxa"/>
          <w:bottom w:w="0" w:type="dxa"/>
          <w:right w:w="108" w:type="dxa"/>
        </w:tblCellMar>
        <w:tblLook w:firstRow="1" w:noVBand="1" w:lastRow="0" w:firstColumn="1" w:lastColumn="0" w:noHBand="0" w:val="04a0"/>
      </w:tblPr>
      <w:tblGrid>
        <w:gridCol w:w="3888"/>
        <w:gridCol w:w="1260"/>
        <w:gridCol w:w="4429"/>
      </w:tblGrid>
      <w:tr>
        <w:trPr>
          <w:trHeight w:val="1" w:hRule="atLeast"/>
        </w:trPr>
        <w:tc>
          <w:tcPr>
            <w:tcW w:w="38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tabs>
                <w:tab w:val="left" w:pos="360" w:leader="none"/>
              </w:tabs>
              <w:spacing w:lineRule="auto" w:line="240" w:before="0" w:after="0"/>
              <w:jc w:val="center"/>
              <w:rPr>
                <w:rFonts w:ascii="Calibri" w:hAnsi="Calibri" w:eastAsia="Calibri" w:cs="Calibri"/>
              </w:rPr>
            </w:pPr>
            <w:r>
              <w:rPr>
                <w:rFonts w:eastAsia="Calibri" w:cs="Calibri"/>
              </w:rPr>
              <w:t>Data…………………………………….</w:t>
            </w:r>
          </w:p>
        </w:tc>
        <w:tc>
          <w:tcPr>
            <w:tcW w:w="12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tabs>
                <w:tab w:val="left" w:pos="360" w:leader="none"/>
              </w:tabs>
              <w:spacing w:lineRule="auto" w:line="240" w:before="0" w:after="0"/>
              <w:jc w:val="center"/>
              <w:rPr>
                <w:rFonts w:ascii="Calibri" w:hAnsi="Calibri" w:eastAsia="Calibri" w:cs="Calibri"/>
              </w:rPr>
            </w:pPr>
            <w:r>
              <w:rPr>
                <w:rFonts w:eastAsia="Calibri" w:cs="Calibri"/>
              </w:rPr>
            </w:r>
          </w:p>
        </w:tc>
        <w:tc>
          <w:tcPr>
            <w:tcW w:w="44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tabs>
                <w:tab w:val="left" w:pos="360" w:leader="none"/>
              </w:tabs>
              <w:spacing w:lineRule="auto" w:line="240" w:before="0" w:after="0"/>
              <w:jc w:val="center"/>
              <w:rPr>
                <w:rFonts w:ascii="Calibri" w:hAnsi="Calibri" w:eastAsia="Calibri" w:cs="Calibri"/>
              </w:rPr>
            </w:pPr>
            <w:r>
              <w:rPr>
                <w:rFonts w:eastAsia="Calibri" w:cs="Calibri"/>
              </w:rPr>
              <w:t>Firma…………………………………</w:t>
            </w:r>
          </w:p>
        </w:tc>
      </w:tr>
    </w:tbl>
    <w:p>
      <w:pPr>
        <w:pStyle w:val="Normal"/>
        <w:tabs>
          <w:tab w:val="left" w:pos="360" w:leader="none"/>
        </w:tabs>
        <w:spacing w:lineRule="auto" w:line="240" w:before="0" w:after="0"/>
        <w:jc w:val="center"/>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 xml:space="preserve">Firmare digitalmente ovvero olografa allegando documento in corso di validità </w:t>
      </w:r>
      <w:r>
        <w:rPr>
          <w:rFonts w:eastAsia="Tahoma" w:cs="Tahoma" w:ascii="Tahoma" w:hAnsi="Tahoma"/>
          <w:sz w:val="16"/>
          <w:szCs w:val="16"/>
        </w:rPr>
        <w:t>come indicato nel disciplinare di gara</w:t>
      </w:r>
    </w:p>
    <w:p>
      <w:pPr>
        <w:pStyle w:val="Normal"/>
        <w:spacing w:lineRule="auto" w:line="240" w:before="0" w:after="0"/>
        <w:jc w:val="both"/>
        <w:rPr/>
      </w:pPr>
      <w:r>
        <w:rPr>
          <w:rFonts w:eastAsia="Tahoma" w:cs="Tahoma" w:ascii="Tahoma" w:hAnsi="Tahoma"/>
          <w:sz w:val="16"/>
        </w:rPr>
        <w:t xml:space="preserve">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w:t>
      </w:r>
      <w:r>
        <w:rPr>
          <w:rFonts w:eastAsia="Tahoma" w:cs="Tahoma" w:ascii="Tahoma" w:hAnsi="Tahoma"/>
          <w:sz w:val="16"/>
        </w:rPr>
        <w:t>DIGITALMENTE ovvero</w:t>
      </w:r>
      <w:r>
        <w:rPr>
          <w:rFonts w:eastAsia="Tahoma" w:cs="Tahoma" w:ascii="Tahoma" w:hAnsi="Tahoma"/>
          <w:sz w:val="16"/>
        </w:rPr>
        <w:t xml:space="preserve"> allegando copia fotostatica di documento di riconoscimento del dichiarante e, nel caso di sottoscrizione da parte di un procuratore, della copia fotostatica della procura.</w:t>
      </w:r>
    </w:p>
    <w:sectPr>
      <w:headerReference w:type="default" r:id="rId2"/>
      <w:type w:val="nextPage"/>
      <w:pgSz w:w="11906" w:h="16838"/>
      <w:pgMar w:left="1134" w:right="1134" w:header="1417" w:top="1969"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before="0" w:after="160"/>
      <w:rPr/>
    </w:pPr>
    <w:r>
      <w:rPr>
        <w:rFonts w:cs="Arial"/>
        <w:b w:val="false"/>
        <w:bCs w:val="false"/>
        <w:sz w:val="22"/>
        <w:szCs w:val="22"/>
      </w:rPr>
      <w:t>SCHEDA DI OFFERTA TECNICA ALLEGATO 1 – LOTTO N. 7 TUTELA LEGALE</w:t>
    </w:r>
  </w:p>
</w:hdr>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it-IT" w:eastAsia="it-IT" w:bidi="ar-SA"/>
    </w:rPr>
  </w:style>
  <w:style w:type="character" w:styleId="DefaultParagraphFont" w:default="1">
    <w:name w:val="Default Paragraph Font"/>
    <w:uiPriority w:val="1"/>
    <w:semiHidden/>
    <w:unhideWhenUsed/>
    <w:qFormat/>
    <w:rPr/>
  </w:style>
  <w:style w:type="character" w:styleId="Carpredefinitoparagrafo2">
    <w:name w:val="Car. predefinito paragrafo2"/>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
    <w:name w:val="Header"/>
    <w:basedOn w:val="Normal"/>
    <w:pPr>
      <w:suppressLineNumbers/>
      <w:tabs>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LibreOffice/6.0.5.2$Windows_X86_64 LibreOffice_project/54c8cbb85f300ac59db32fe8a675ff7683cd5a16</Application>
  <Pages>4</Pages>
  <Words>634</Words>
  <Characters>3406</Characters>
  <CharactersWithSpaces>4632</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2019-07-22T11:04:00Z</dcterms:created>
  <dc:creator>Aon Spa</dc:creator>
  <dc:description/>
  <dc:language>it-IT</dc:language>
  <cp:lastModifiedBy/>
  <dcterms:modified xsi:type="dcterms:W3CDTF">2019-08-19T16:41:57Z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